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575D56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11193097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C8667F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Кызылского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кожууна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</w:p>
    <w:p w:rsidR="00BD7A9B" w:rsidRDefault="00C8667F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Республики Тыва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575D56" w:rsidRPr="00575D56" w:rsidRDefault="00575D56" w:rsidP="00575D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5D56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575D56">
        <w:rPr>
          <w:rFonts w:ascii="Times New Roman" w:eastAsia="Times New Roman" w:hAnsi="Times New Roman" w:cs="Times New Roman"/>
          <w:b/>
          <w:sz w:val="28"/>
          <w:szCs w:val="28"/>
        </w:rPr>
        <w:t xml:space="preserve"> «__»_______ 2021 г.                             № ____                                   с. </w:t>
      </w:r>
      <w:proofErr w:type="spellStart"/>
      <w:r w:rsidRPr="00575D56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575D56" w:rsidRPr="00575D56" w:rsidRDefault="00575D56" w:rsidP="00575D5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Об утверждении Порядка поощрения муниципальных 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управленческих</w:t>
      </w:r>
      <w:proofErr w:type="gramEnd"/>
      <w:r w:rsidRPr="0057049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команд за содействие достижению показателей 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деятельности</w:t>
      </w:r>
      <w:proofErr w:type="gramEnd"/>
      <w:r w:rsidRPr="0057049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органов исполнительной власти Республики Тыва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постановлением Правительства Республики Тыва от 14 декабря 2021 года № 688 «Об утверждении Порядка поощрения региональной и муниципальных управленческих команд за достижение показателей деятельности органов исполнительной власти Республики Тыва»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администрация сельского поселения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Чербинский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ПОСТАНОВЛЯЕТ: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 прилагаемые: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поощрения муниципальных управленческих команд за содействие достижению показателей деятельности органов исполнительной власти Республики Тыва;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Распределение </w:t>
      </w:r>
      <w:r w:rsidR="00230181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на 2021</w:t>
      </w:r>
      <w:r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 год органам </w:t>
      </w:r>
      <w:r w:rsidRPr="0057049B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местного самоуправления </w:t>
      </w:r>
      <w:r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сельского поселения сумона Чербинский Кызылского кожууна</w:t>
      </w:r>
      <w:r w:rsidRPr="0057049B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 Республики Тыва средств на поощрение за содействие достижению показателей деятельности органов исполнительной власти Республики Тыва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Р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аспределение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30181">
        <w:rPr>
          <w:rFonts w:ascii="Times New Roman" w:eastAsiaTheme="minorHAnsi" w:hAnsi="Times New Roman" w:cs="Times New Roman"/>
          <w:sz w:val="28"/>
          <w:szCs w:val="28"/>
          <w:lang w:eastAsia="en-US"/>
        </w:rPr>
        <w:t>на 2021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иных межбюджетных трансфертов из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Чербинский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Бухгалтеру администрации сельского поселения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Чербинский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 в соответствии с Порядком 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поощрения муниципальных управленческих команд за содействие достижению показателей деятельности органов исполнительной власти Республики Тыва, утвержденным настоящим постановлением, внести изменения в сводную бюджетную роспись </w:t>
      </w:r>
      <w:r w:rsidR="00284B4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284B4C"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r w:rsidR="00284B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Чербинский </w:t>
      </w:r>
      <w:proofErr w:type="spellStart"/>
      <w:r w:rsidR="00284B4C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="00284B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284B4C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 на </w:t>
      </w:r>
      <w:r w:rsidR="00993F0B">
        <w:rPr>
          <w:rFonts w:ascii="Times New Roman" w:eastAsiaTheme="minorHAnsi" w:hAnsi="Times New Roman" w:cs="Times New Roman"/>
          <w:sz w:val="28"/>
          <w:szCs w:val="28"/>
          <w:lang w:eastAsia="en-US"/>
        </w:rPr>
        <w:t>2021 год и на плановый период 2022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202</w:t>
      </w:r>
      <w:r w:rsidR="00993F0B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 в целях распределения между получателями средств </w:t>
      </w:r>
      <w:r w:rsidR="00284B4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бюджета в рамках раздела «Другие общегосударственные вопросы» за счет средств межбюджетных трансфертов, предоставленных из республиканского бюджета за содействие достижению показателей деятельности органов исполнительной власти Республики Тыва.</w:t>
      </w:r>
    </w:p>
    <w:p w:rsidR="0057049B" w:rsidRPr="0057049B" w:rsidRDefault="00284B4C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 В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ыплатить поощрения лицам, замещающим на 01 декабря 2021 года муниципальные должности и должности муниципальной службы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сельского 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Чербинский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Тыва.</w:t>
      </w:r>
    </w:p>
    <w:p w:rsidR="0057049B" w:rsidRPr="0057049B" w:rsidRDefault="00284B4C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Получателям средств на поощрение муниципальных управленческих команд за содействие достижению показателей деятельности органов исполнительной власти Республики Тыва до 15 января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2022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представить справку об освоении средств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бухгалтерию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поселения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Чербинский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proofErr w:type="spellEnd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 до 12 января 2022 года.</w:t>
      </w:r>
    </w:p>
    <w:p w:rsidR="0057049B" w:rsidRPr="0057049B" w:rsidRDefault="00284B4C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Бухгалтеру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Чербинский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proofErr w:type="gramEnd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proofErr w:type="spellEnd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 представить справку об освоении средств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ном</w:t>
      </w:r>
      <w:proofErr w:type="spellEnd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 15 января 2022 года в Министерство финансов Республики Тыва.</w:t>
      </w:r>
    </w:p>
    <w:p w:rsidR="0057049B" w:rsidRPr="0057049B" w:rsidRDefault="00284B4C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Контроль за исполнением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оставляю за собой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7049B" w:rsidRPr="0057049B" w:rsidRDefault="00284B4C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постановление вступает в силу со дня его подписания.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администрации  </w:t>
      </w:r>
    </w:p>
    <w:p w:rsid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Чербинский: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Сандый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В.К.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br w:type="page"/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Утвержден</w:t>
      </w:r>
    </w:p>
    <w:p w:rsidR="00284B4C" w:rsidRDefault="00284B4C" w:rsidP="00284B4C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84B4C" w:rsidRDefault="0057049B" w:rsidP="00284B4C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</w:t>
      </w:r>
    </w:p>
    <w:p w:rsidR="0057049B" w:rsidRPr="0057049B" w:rsidRDefault="0057049B" w:rsidP="00284B4C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сумона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Чербинский</w:t>
      </w:r>
    </w:p>
    <w:p w:rsidR="0057049B" w:rsidRPr="0057049B" w:rsidRDefault="00284B4C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="0057049B"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Тыва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049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D56">
        <w:rPr>
          <w:rFonts w:ascii="Times New Roman" w:eastAsia="Times New Roman" w:hAnsi="Times New Roman" w:cs="Times New Roman"/>
          <w:sz w:val="28"/>
          <w:szCs w:val="28"/>
        </w:rPr>
        <w:t>«__»</w:t>
      </w:r>
      <w:r w:rsidRPr="00570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D56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57049B">
        <w:rPr>
          <w:rFonts w:ascii="Times New Roman" w:eastAsia="Times New Roman" w:hAnsi="Times New Roman" w:cs="Times New Roman"/>
          <w:sz w:val="28"/>
          <w:szCs w:val="28"/>
        </w:rPr>
        <w:t>2021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D56">
        <w:rPr>
          <w:rFonts w:ascii="Times New Roman" w:eastAsia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 О Р Я Д О К</w:t>
      </w:r>
    </w:p>
    <w:p w:rsidR="0057049B" w:rsidRPr="0057049B" w:rsidRDefault="0057049B" w:rsidP="0057049B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поощрения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муниципальных управленческих команд за содействие достижению показателей деятельности органов исполнительной власти Республики Тыва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1. Настоящий Порядок регулирует вопросы и устанавливает правила поощрения муниципальных управленческих команд за содействие достижению значении (уровней) показателей для оценки эффективности деятельности высших должностных лиц (руководителей высших исполнительных органов исполнительной власти) Республики Тыва и деятельности органов исполнительной власти Республики Тыва.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2. Под муниципальными управленческими командами понимается группа должностных лиц, замещающих должностных лиц, замещающих муниципальные должности, должности муниципальной службы, деятельность которых способствовала достижению республикой значений (уровней) показателей для оценки эффективности деятельности.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Общий объем средств на поощрение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кожуунной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управленческой команды (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) определяется по формуле: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Пк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0,44 × ∑ Среднемесячный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ФОТкi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Среднемесячный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ФОТкi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среднемесячный фонд оплаты труда работников Администрации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ее структурных подразделений на 2021 год, рассчитанный в соответствии с решением Хурала представителей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от 09 декабря 2020 года № 22 «Об утверждении Положения «Формирование расходов на оплату труда депутатов, выборных должностных лиц, осуществляющих свои полномочия на постоянной основе, и муниципальных служащих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Тыва».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Определение объема средств, направляемых Администрации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ее структурным подразделениям на поощрение в соответствии с настоящим Порядком, осуществляется в соответствии с Правилами определения объема средств органам местного самоуправления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поощрение за содействие достижению показателей 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деятельности органов исполнительной власти Республики Тыва согласно приложению № 1 к настоящему Порядку.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5. Общий объем средств на поощрение управленческих команд поселений (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Пмо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) определяется по формуле: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Пмо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0,44 ×∑ Среднемесячный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ФОТмi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Среднемесячный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ФОТмi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среднемесячный фонд оплаты труда работников органов местного самоуправления</w:t>
      </w:r>
      <w:r w:rsidR="00993F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сельских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поселений, рассчитанный в соответствии с постановлением Правительства Республики Тыва от 1 июня 2020 г. № 250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Республики Тыва и о признании утратившими силу некоторых постановлений Правительства Республики Тыва».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Поощрение управленческих команд поселений осуществляется за счет иных межбюджетных трансфертов из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кожуунного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бюджета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Республики Тыва, распределенных в соответствии с Методикой распределения иных межбюджетных трансфертов на 2021 год из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кожуунного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бюджета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бюджетам поселений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 согласно приложению № 2 к настоящему Порядку.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7. Поощрение муниципальных управленческих команд осуществляется единовременно в равных долях от среднемесячной заработной платы должностных лиц, замещающих муниципальные должности, должности муниципальной службы.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br w:type="page"/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83"/>
      <w:bookmarkEnd w:id="1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 № 1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Порядку поощрения 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управленческих команд 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за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содействие достижению показателей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деятельности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органов исполнительной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власти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 Р А В И Л А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определения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объема средств органам местного самоуправления 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поощрение за содействие достижению 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показателей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деятельности органов исполнительной власти </w:t>
      </w:r>
    </w:p>
    <w:p w:rsidR="0057049B" w:rsidRPr="0057049B" w:rsidRDefault="0057049B" w:rsidP="00064B9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Республики Тыва 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Определение объема средств, направляемых Администрации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ее структурным подразделениям на поощрение за содействие достижению показателей деятельности органов исполнительной власти Республики Тыва (далее - поощрение) осуществляется с учетом их вклада в достижение указанных показателей в группировке по трем блокам: внутриполитический, социальный, экономический.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2. Объем средств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му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органу местного самоуправления (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Првпi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) на поощрение должностных лиц, замещающих муниципальные должности, должности муниципальной службы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Тыва, участвующему в достижении показателей деятельности органов исполнительной власти Республики Тыва внутриполитического блока, определенных Указом Президента Российской Федерации от 4 февраля 2021 г.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 (далее – Указ Президента Российской Федерации), определяется по формуле: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064B9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Првпi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Првп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×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Првп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общий объем средств, направляемых на поощрение органов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</w:t>
      </w:r>
      <w:r w:rsidRPr="0057049B">
        <w:rPr>
          <w:rFonts w:eastAsiaTheme="minorHAnsi"/>
          <w:lang w:eastAsia="en-US"/>
        </w:rPr>
        <w:t xml:space="preserve"> 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внутриполитического блока, определяется по формуле: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Првп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× 0,7 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общий объем средств на поощрение муниципальной управленческой команды;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коэффициент доли среднемесячного фонда оплаты труда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органа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Республики Тыва от общего среднемесячного фонда оплаты труда 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органов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 Республики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Тыва, который определяется по формуле: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/∑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среднемесячный фонд оплаты труда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органа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 Республики Тыва, рассчитанный в соответствии с решением Хурала представителей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от 09 декабря 2020 года № 22 «Об утверждении Положения «Формирование расходов на оплату труда депутатов, выборных должностных лиц, осуществляющих свои полномочия на постоянной основе, и муниципальных служащих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Тыва»;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∑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общий среднемесячный фонд оплаты труда органов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 Республики Тыва Республики Тыва, рассчитанный в соответствии с решением Хурала представителей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от 09 декабря 2020 года № 22 «Об утверждении Положения «Формирование расходов на оплату труда депутатов, выборных должностных лиц, осуществляющих свои полномочия на постоянной основе, и муниципальных служащих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Тыва»;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3. Объем средств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му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органу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(П</w:t>
      </w:r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(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)i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) на поощрение должностных лиц, замещающих муниципальные должности, должности муниципальной службы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Республики Тыва, участвующему в достижении показателей деятельности органов исполнительной власти Республики Тыва социального или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политикоуправленческому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блоков, определенных Указом Президента Российской Федерации, определяется по формуле: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(</w:t>
      </w:r>
      <w:proofErr w:type="spellStart"/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)i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= П</w:t>
      </w:r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(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)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× К</w:t>
      </w:r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(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)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i,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(</w:t>
      </w:r>
      <w:proofErr w:type="spellStart"/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)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общий объем средств, направляемых на поощрение органов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Республики Тыва, отнесенных к социальному или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политикоуправленческому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блокам, определяется по формуле: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(</w:t>
      </w:r>
      <w:proofErr w:type="spellStart"/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)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× 0,3,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общий объем средств на поощрение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кожуунной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управленческой команды;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(</w:t>
      </w:r>
      <w:proofErr w:type="spellStart"/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)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i – коэффициент доли фонда оплаты труда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органа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Республики 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Тыва от общего среднемесячного фонда оплаты труда органов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Республики Тыва, отнесенных к социальному или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политикоуправленческому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блокам, который определяется по формуле: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(</w:t>
      </w:r>
      <w:proofErr w:type="spellStart"/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)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i = среднемесячный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ФОТсфi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/∑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ФОТсфi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среднемесячный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ФОТсфi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среднемесячный фонд оплаты труда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органа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 Республики Тыва, отнесенного к социальному или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политикоуправленческому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блокам, рассчитанный в соответствии с решением Хурала представителей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от 09 декабря 2020 года № 22 «Об утверждении Положения «Формирование расходов на оплату труда депутатов, выборных должностных лиц, осуществляющих свои полномочия на постоянной основе, и муниципальных служащих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Тыва»;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∑ среднемесячный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ФОТсфi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общий среднемесячный фонд оплаты труда органов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  Республики Тыва, отнесенных к социальному или внутриполитическому блокам, рассчитанный в соответствии с решением Хурала представителей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от 09 декабря 2020 года № 22 «Об утверждении Положения «Формирование расходов на оплату труда депутатов, выборных должностных лиц, осуществляющих свои полномочия на постоянной основе, и муниципальных служащих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Тыва».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4. Общий объем средств соответствующему органу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(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r w:rsidRPr="0057049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Pr="0057049B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определяется по ф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ормуле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r w:rsidRPr="0057049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=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Првпi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+ </w:t>
      </w: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П(</w:t>
      </w:r>
      <w:proofErr w:type="spellStart"/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)i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5. Отнесение органов местного самоуправления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к внутриполитическому,</w:t>
      </w:r>
      <w:r w:rsidRPr="0057049B">
        <w:rPr>
          <w:rFonts w:eastAsiaTheme="minorHAnsi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политикоуправленческому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социальному блокам показателей осуществляется в соответствии со следующим распределением: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органы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местного самоуправления, отнесенные к внутриполитическому блоку – структурные подразделения Администрация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кожууна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главные распорядители средств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кожуунного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бюджета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органы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местного самоуправления, отнесенные к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политикоуправленческому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блоку – Хурал представителей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Тыва, Администрация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 w:type="page"/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 № 2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Порядку поощрения 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управленческих команд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за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содействие достижению показателей  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деятельности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органов исполнительной </w:t>
      </w:r>
    </w:p>
    <w:p w:rsidR="0057049B" w:rsidRPr="0057049B" w:rsidRDefault="0057049B" w:rsidP="0057049B">
      <w:pPr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власти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Тыва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 Е Т О Д И К А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распределения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иных межбюджетных трансфертов на 2021 год 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из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кожуунного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бюджета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бюджетам поселений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на поощрение муниципальных управленческих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команд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содействие достижению показателей деятельности</w:t>
      </w:r>
    </w:p>
    <w:p w:rsidR="0057049B" w:rsidRPr="0057049B" w:rsidRDefault="0057049B" w:rsidP="005704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органов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исполнительной власти Республики Тыва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Настоящая Методика определяет порядок распределения иных межбюджетных трансфертов на 2021 год из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кожуунного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бюджета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бюджетам поселений муниципального района «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кожуун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Республики Тыва на поощрение муниципальных управленческих команд за содействие достижению показателей деятельности органов исполнительной власти Республики Тыва (далее – иные межбюджетные трансферты).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2. Иные межбюджетные трансферты предоставляются в пределах межбюджетных трансфертов, предоставленных из республиканского бюджета за содействие достижению показателей деятельности органов исполнительной власти субъектов Российской Федерации.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3. Объем иных межбюджетных трансфертов для поощрения муниципальных управленческих команд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определяется по формуле: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Пмоi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Пмо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×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Пмо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общий объем средств на поощрение муниципальных управленческих команд;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коэффициент доли фонда оплаты труда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посления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общего среднемесячного фонда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поселения, который определяется по формуле: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Кi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ФОТмi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/∑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ФОТмi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где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</w:t>
      </w:r>
      <w:proofErr w:type="gram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ФОТмi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среднемесячный фонд оплаты труда i-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поселения, рассчитанный в соответствии с постановлением Правительства Республики Тыва от 1 июня 2020 г. № 250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</w:t>
      </w: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постоянной основе, и муниципальных служащих Республики Тыва и о признании утратившими силу некоторых постановлений Правительства Республики Тыва»;</w:t>
      </w:r>
    </w:p>
    <w:p w:rsidR="0057049B" w:rsidRPr="0057049B" w:rsidRDefault="0057049B" w:rsidP="0057049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∑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cреднемесячный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ФОТмi</w:t>
      </w:r>
      <w:proofErr w:type="spellEnd"/>
      <w:r w:rsidRPr="005704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общий среднемесячный фонд оплаты труда поселений, рассчитанный в соответствии с постановлением Правительства Республики Тыва от 1 июня 2020 г. № 250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Республики Тыва и о признании утратившими силу некоторых постановлений Правительства Республики Тыва».</w:t>
      </w:r>
    </w:p>
    <w:p w:rsidR="0085051A" w:rsidRPr="007A10DF" w:rsidRDefault="00575D56" w:rsidP="0057049B">
      <w:pPr>
        <w:tabs>
          <w:tab w:val="left" w:pos="624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85051A" w:rsidRPr="007A10DF" w:rsidSect="00064B9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064B9A"/>
    <w:rsid w:val="00116072"/>
    <w:rsid w:val="001329B2"/>
    <w:rsid w:val="00163C5A"/>
    <w:rsid w:val="001802E9"/>
    <w:rsid w:val="00217782"/>
    <w:rsid w:val="00230181"/>
    <w:rsid w:val="00240475"/>
    <w:rsid w:val="00244139"/>
    <w:rsid w:val="00272408"/>
    <w:rsid w:val="00284B4C"/>
    <w:rsid w:val="00296177"/>
    <w:rsid w:val="002C5105"/>
    <w:rsid w:val="002E3D3D"/>
    <w:rsid w:val="002F706F"/>
    <w:rsid w:val="003102B5"/>
    <w:rsid w:val="00341733"/>
    <w:rsid w:val="003C04B8"/>
    <w:rsid w:val="003F1AD3"/>
    <w:rsid w:val="0043701F"/>
    <w:rsid w:val="00466B71"/>
    <w:rsid w:val="004A4C3A"/>
    <w:rsid w:val="00500C95"/>
    <w:rsid w:val="0057049B"/>
    <w:rsid w:val="00575D56"/>
    <w:rsid w:val="005B09A6"/>
    <w:rsid w:val="005B2BE4"/>
    <w:rsid w:val="005B4FA9"/>
    <w:rsid w:val="005D59E0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93F0B"/>
    <w:rsid w:val="009F0D22"/>
    <w:rsid w:val="009F79F0"/>
    <w:rsid w:val="00A12B42"/>
    <w:rsid w:val="00A25539"/>
    <w:rsid w:val="00A31B29"/>
    <w:rsid w:val="00A35E06"/>
    <w:rsid w:val="00B34195"/>
    <w:rsid w:val="00B41A1D"/>
    <w:rsid w:val="00B42BD5"/>
    <w:rsid w:val="00BD7A9B"/>
    <w:rsid w:val="00BE4782"/>
    <w:rsid w:val="00C5528B"/>
    <w:rsid w:val="00C6123C"/>
    <w:rsid w:val="00C8667F"/>
    <w:rsid w:val="00D479F4"/>
    <w:rsid w:val="00D8226F"/>
    <w:rsid w:val="00D87247"/>
    <w:rsid w:val="00DA57E6"/>
    <w:rsid w:val="00DD5812"/>
    <w:rsid w:val="00E60ACA"/>
    <w:rsid w:val="00E726F5"/>
    <w:rsid w:val="00E769F8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9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62</cp:revision>
  <cp:lastPrinted>2021-12-20T05:41:00Z</cp:lastPrinted>
  <dcterms:created xsi:type="dcterms:W3CDTF">2019-03-21T02:23:00Z</dcterms:created>
  <dcterms:modified xsi:type="dcterms:W3CDTF">2022-04-11T07:38:00Z</dcterms:modified>
</cp:coreProperties>
</file>